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宋体" w:eastAsia="宋体" w:cs="宋体"/>
          <w:b/>
          <w:sz w:val="32"/>
          <w:szCs w:val="32"/>
          <w:lang w:val="en-US" w:eastAsia="zh-CN"/>
        </w:rPr>
      </w:pPr>
      <w:r>
        <w:rPr>
          <w:rFonts w:hint="eastAsia" w:ascii="宋体" w:hAnsi="宋体" w:cs="宋体"/>
          <w:b/>
          <w:sz w:val="32"/>
          <w:szCs w:val="32"/>
          <w:lang w:val="en-US" w:eastAsia="zh-CN"/>
        </w:rPr>
        <w:t>上海阳光馨语公益服务中心人才发展计划</w:t>
      </w:r>
    </w:p>
    <w:p>
      <w:pPr>
        <w:spacing w:line="360" w:lineRule="auto"/>
        <w:jc w:val="center"/>
        <w:rPr>
          <w:rFonts w:hint="eastAsia" w:ascii="宋体" w:hAnsi="宋体" w:cs="宋体"/>
          <w:b/>
          <w:szCs w:val="24"/>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第一条  目的</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lang w:val="en-US" w:eastAsia="zh-CN"/>
        </w:rPr>
        <w:t>上海阳光馨语公益服务中心</w:t>
      </w:r>
      <w:r>
        <w:rPr>
          <w:rFonts w:hint="eastAsia" w:ascii="宋体" w:hAnsi="宋体" w:cs="宋体"/>
          <w:sz w:val="28"/>
          <w:szCs w:val="28"/>
        </w:rPr>
        <w:t>为建立和完善机构人才培养机制，通过制定有效的人才培养与发展计划，合理地挖掘、培养、建设机构专业人才队伍，建立机构的人才梯队，为机构的可持续发展提供有力的支持。</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第二条  原则</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eastAsia="zh-CN"/>
        </w:rPr>
      </w:pPr>
      <w:r>
        <w:rPr>
          <w:rFonts w:hint="eastAsia" w:ascii="宋体" w:hAnsi="宋体" w:cs="宋体"/>
          <w:sz w:val="28"/>
          <w:szCs w:val="28"/>
        </w:rPr>
        <w:t>坚持“内部培养为主，外部培训为辅”的原则</w:t>
      </w:r>
      <w:r>
        <w:rPr>
          <w:rFonts w:hint="eastAsia" w:ascii="宋体" w:hAnsi="宋体" w:cs="宋体"/>
          <w:sz w:val="28"/>
          <w:szCs w:val="28"/>
          <w:lang w:eastAsia="zh-CN"/>
        </w:rPr>
        <w:t>。</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第三条  目标</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一、机构人才培养目标始终坚持“专业培养和综合培养同步进行”的人才培养策略，即机构培养专业型的技术人才和综合型的管理人才。</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二、专业型技术人才指在某一专业领域内掌握较高技术水平的人才，随着社会组织专业化的发展，此类型人才对于机构来说至关重要。</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rPr>
      </w:pPr>
      <w:r>
        <w:rPr>
          <w:rFonts w:hint="eastAsia" w:ascii="宋体" w:hAnsi="宋体" w:cs="宋体"/>
          <w:sz w:val="28"/>
          <w:szCs w:val="28"/>
        </w:rPr>
        <w:t>三、综合型管理人才指在本机构或本部门工作领域具备全面知识，有较高管理水平的人才。主要负责机构的综合协调、行政管理工作、人力资源管理、档案管理和信息服务工作。</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第四条  体系</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rPr>
      </w:pPr>
      <w:r>
        <w:rPr>
          <w:rFonts w:hint="eastAsia" w:ascii="宋体" w:hAnsi="宋体" w:cs="宋体"/>
          <w:sz w:val="28"/>
          <w:szCs w:val="28"/>
        </w:rPr>
        <w:t>由机构总干事统筹、</w:t>
      </w:r>
      <w:r>
        <w:rPr>
          <w:rFonts w:hint="eastAsia" w:ascii="宋体" w:hAnsi="宋体" w:cs="宋体"/>
          <w:sz w:val="28"/>
          <w:szCs w:val="28"/>
          <w:lang w:val="en-US" w:eastAsia="zh-CN"/>
        </w:rPr>
        <w:t>中心主任</w:t>
      </w:r>
      <w:r>
        <w:rPr>
          <w:rFonts w:hint="eastAsia" w:ascii="宋体" w:hAnsi="宋体" w:cs="宋体"/>
          <w:sz w:val="28"/>
          <w:szCs w:val="28"/>
        </w:rPr>
        <w:t>协助落实专业人才队伍建设的具体实施。主要包括人才培养体系的构成、人才的甄选、人才培养模式、人才的培养方法、人才的淘汰与晋升。</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第五条  实施</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主要由以下几个方面组成：人才培养体系的构成、人才的甄选、人才培养模式、人才的培养方法、人才的淘汰与晋升。</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一、人才培养体系的构成</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sz w:val="28"/>
          <w:szCs w:val="21"/>
        </w:rPr>
      </w:pPr>
      <w:r>
        <w:rPr>
          <w:rFonts w:hint="eastAsia" w:ascii="宋体" w:hAnsi="宋体" w:cs="宋体"/>
          <w:sz w:val="28"/>
          <w:szCs w:val="28"/>
        </w:rPr>
        <w:t>（一）业务骨干：旨在通过对有上进心、乐于学习、积极进取的新入职员工的培养，使其逐步成为成长为机构业务骨干。</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（二）项目负责人：旨在通过对机构现有的有两年以上工作经验的、有进一步培养潜质的普通员工进行培养，使其逐步成长为某一项目负责人。</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（三）中层管理干部：旨在通过对机构有进一步培养潜质的中层管理干部进行培养，使其逐步成长为能够独当一面的人才。</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8"/>
          <w:szCs w:val="28"/>
        </w:rPr>
      </w:pP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二、人才的甄选</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（一）通过员工绩效考评，参考绩效考核为“良好”及以上的员工上级主管的意见，慎重地甄选出具有潜力的员工进行着重培养。</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（二）进入人才培养队伍的员工必须能够胜任现有岗位工作，有强烈进取精神，愿意为机构的发展作贡献。</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三、人才培养模式</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为了适应不同岗位的需要，结合员工的职业生涯发展规划，机构对员工采用下列两种培养模式：</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（一）综合型管理人才培养模式：对于综合型管理人才，即采用：轮岗工作+新项目工作+继续教育多种培养方式相结合的方式进行培养。</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（二）专业型技术人才培养模式：对于专业型技术人才，即采用：业务或专业领域内轮岗+项目工作+继续教育+内部指导等多种培养方式进行培养。</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（三）人才培养方法：为了保证人才培养的针对性、有效性，机构对不同层级的员工采用不同的培养方式。</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（四）对于业务骨干采取上级主管指导、在职培训、外部培训等方法进行培养。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hAnsi="宋体" w:cs="宋体"/>
          <w:sz w:val="28"/>
          <w:szCs w:val="28"/>
        </w:rPr>
      </w:pPr>
      <w:r>
        <w:rPr>
          <w:rFonts w:hint="eastAsia" w:ascii="宋体" w:hAnsi="宋体" w:cs="宋体"/>
          <w:sz w:val="28"/>
          <w:szCs w:val="28"/>
        </w:rPr>
        <w:t>1、上级主管指导：由经验丰富的上级主管带其共同执行业务，身体力行对其进行培养。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hAnsi="宋体" w:cs="宋体"/>
          <w:sz w:val="28"/>
          <w:szCs w:val="28"/>
        </w:rPr>
      </w:pPr>
      <w:r>
        <w:rPr>
          <w:rFonts w:hint="eastAsia" w:ascii="宋体" w:hAnsi="宋体" w:cs="宋体"/>
          <w:sz w:val="28"/>
          <w:szCs w:val="28"/>
        </w:rPr>
        <w:t>2、在职培训：业务骨干必须按</w:t>
      </w:r>
      <w:bookmarkStart w:id="0" w:name="_Hlk493101115"/>
      <w:r>
        <w:rPr>
          <w:rFonts w:hint="eastAsia" w:ascii="宋体" w:hAnsi="宋体" w:cs="宋体"/>
          <w:sz w:val="28"/>
          <w:szCs w:val="28"/>
        </w:rPr>
        <w:t>机构培训要求完成必须的专业培训课程。</w:t>
      </w:r>
      <w:bookmarkEnd w:id="0"/>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sz w:val="28"/>
          <w:szCs w:val="21"/>
        </w:rPr>
      </w:pPr>
      <w:r>
        <w:rPr>
          <w:rFonts w:hint="eastAsia" w:ascii="宋体" w:hAnsi="宋体" w:cs="宋体"/>
          <w:sz w:val="28"/>
          <w:szCs w:val="28"/>
        </w:rPr>
        <w:t>3、外部培训：机构鼓励其在业余时间学习与业务有关的知识与技能并会向其推荐符合其情况的外部培训。</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（五）对于项目负责人</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1、内部培训：对于项目负责人，机构将安排制定专业培训课程帮助其提升自身业务水平。</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2、外部培训：机构将有计划地安排和奖励其参加外部培训，外出培训经费视实际情况，由机构部分补贴。</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（六）对于中层管理干部</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1参与决策层的讨论：机构将不定期的邀请中层管理干部参与机构决策层的讨论，共同规划机构的未来发展方向。</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2、内部培训：对于中层管理干部，机构将邀请业内专家对其进行专业培训助其成长。</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3、外部培训：机构将有计划地安排和奖励其参加外部培训，外出培训经费视实际情况，由机构部分或全部补贴。</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四、人才的淘汰与晋升</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（一）为了确保机构专业人才队伍建设的有效开展，机构人才队伍将实行动态管理，每年和机构其它管理制度相结合进行调整，淘汰不符合条件的人员，吸纳新的优秀人才加入。</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hAnsi="宋体" w:cs="宋体"/>
          <w:sz w:val="28"/>
          <w:szCs w:val="28"/>
        </w:rPr>
      </w:pPr>
      <w:r>
        <w:rPr>
          <w:rFonts w:hint="eastAsia" w:ascii="宋体" w:hAnsi="宋体" w:cs="宋体"/>
          <w:sz w:val="28"/>
          <w:szCs w:val="28"/>
        </w:rPr>
        <w:t>（二）通过年度员工绩效考核，考核未达到“良好”等级的，由人事向其上级主管征询意见，重新制定其培养方案。</w:t>
      </w:r>
    </w:p>
    <w:p>
      <w:pPr>
        <w:keepNext w:val="0"/>
        <w:keepLines w:val="0"/>
        <w:pageBreakBefore w:val="0"/>
        <w:kinsoku/>
        <w:wordWrap/>
        <w:overflowPunct/>
        <w:topLinePunct w:val="0"/>
        <w:autoSpaceDE/>
        <w:autoSpaceDN/>
        <w:bidi w:val="0"/>
        <w:adjustRightInd/>
        <w:snapToGrid/>
        <w:spacing w:line="360" w:lineRule="auto"/>
        <w:ind w:firstLine="562" w:firstLineChars="200"/>
        <w:jc w:val="center"/>
        <w:textAlignment w:val="auto"/>
        <w:rPr>
          <w:rFonts w:ascii="宋体" w:hAnsi="宋体" w:cs="宋体"/>
          <w:b/>
          <w:sz w:val="28"/>
          <w:szCs w:val="28"/>
        </w:rPr>
      </w:pPr>
    </w:p>
    <w:p>
      <w:pPr>
        <w:keepNext w:val="0"/>
        <w:keepLines w:val="0"/>
        <w:pageBreakBefore w:val="0"/>
        <w:kinsoku/>
        <w:wordWrap/>
        <w:overflowPunct/>
        <w:topLinePunct w:val="0"/>
        <w:autoSpaceDE/>
        <w:autoSpaceDN/>
        <w:bidi w:val="0"/>
        <w:adjustRightInd/>
        <w:snapToGrid/>
        <w:spacing w:line="360" w:lineRule="auto"/>
        <w:ind w:firstLine="562" w:firstLineChars="200"/>
        <w:jc w:val="both"/>
        <w:textAlignment w:val="auto"/>
        <w:rPr>
          <w:rFonts w:ascii="宋体" w:hAnsi="宋体" w:cs="宋体"/>
          <w:b/>
          <w:sz w:val="28"/>
          <w:szCs w:val="28"/>
        </w:rPr>
      </w:pPr>
      <w:r>
        <w:rPr>
          <w:rFonts w:hint="eastAsia" w:ascii="宋体" w:hAnsi="宋体" w:cs="宋体"/>
          <w:b/>
          <w:sz w:val="28"/>
          <w:szCs w:val="28"/>
        </w:rPr>
        <w:t>第六条  实施</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eastAsia="zh-CN"/>
        </w:rPr>
      </w:pPr>
      <w:r>
        <w:rPr>
          <w:rFonts w:hint="eastAsia" w:ascii="宋体" w:hAnsi="宋体" w:cs="宋体"/>
          <w:sz w:val="28"/>
          <w:szCs w:val="28"/>
        </w:rPr>
        <w:t>一、本制度经</w:t>
      </w:r>
      <w:r>
        <w:rPr>
          <w:rFonts w:hint="eastAsia" w:ascii="宋体" w:hAnsi="宋体" w:cs="宋体"/>
          <w:sz w:val="28"/>
          <w:szCs w:val="28"/>
          <w:lang w:val="en-US" w:eastAsia="zh-CN"/>
        </w:rPr>
        <w:t>2020年12月29日</w:t>
      </w:r>
      <w:r>
        <w:rPr>
          <w:rFonts w:hint="eastAsia" w:ascii="宋体" w:hAnsi="宋体" w:cs="宋体"/>
          <w:sz w:val="28"/>
          <w:szCs w:val="28"/>
        </w:rPr>
        <w:t>第</w:t>
      </w:r>
      <w:r>
        <w:rPr>
          <w:rFonts w:hint="eastAsia" w:ascii="宋体" w:hAnsi="宋体" w:cs="宋体"/>
          <w:sz w:val="28"/>
          <w:szCs w:val="28"/>
          <w:lang w:val="en-US" w:eastAsia="zh-CN"/>
        </w:rPr>
        <w:t>二</w:t>
      </w:r>
      <w:r>
        <w:rPr>
          <w:rFonts w:hint="eastAsia" w:ascii="宋体" w:hAnsi="宋体" w:cs="宋体"/>
          <w:sz w:val="28"/>
          <w:szCs w:val="28"/>
        </w:rPr>
        <w:t>届理事会第</w:t>
      </w:r>
      <w:r>
        <w:rPr>
          <w:rFonts w:hint="eastAsia" w:ascii="宋体" w:hAnsi="宋体" w:cs="宋体"/>
          <w:sz w:val="28"/>
          <w:szCs w:val="28"/>
          <w:lang w:val="en-US" w:eastAsia="zh-CN"/>
        </w:rPr>
        <w:t>4</w:t>
      </w:r>
      <w:bookmarkStart w:id="1" w:name="_GoBack"/>
      <w:bookmarkEnd w:id="1"/>
      <w:r>
        <w:rPr>
          <w:rFonts w:hint="eastAsia" w:ascii="宋体" w:hAnsi="宋体" w:cs="宋体"/>
          <w:sz w:val="28"/>
          <w:szCs w:val="28"/>
        </w:rPr>
        <w:t>次会议审议通过</w:t>
      </w:r>
      <w:r>
        <w:rPr>
          <w:rFonts w:hint="eastAsia" w:ascii="宋体" w:hAnsi="宋体" w:cs="宋体"/>
          <w:sz w:val="28"/>
          <w:szCs w:val="28"/>
          <w:lang w:val="en-US" w:eastAsia="zh-CN"/>
        </w:rPr>
        <w:t>后，即日起施行。</w:t>
      </w:r>
    </w:p>
    <w:p>
      <w:pPr>
        <w:pStyle w:val="2"/>
        <w:spacing w:before="0" w:after="0" w:line="360" w:lineRule="auto"/>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87C2C96"/>
    <w:rsid w:val="21F16993"/>
    <w:rsid w:val="220079A2"/>
    <w:rsid w:val="3B716C88"/>
    <w:rsid w:val="70350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color w:val="000000"/>
      <w:kern w:val="0"/>
      <w:sz w:val="24"/>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刘文彬</dc:creator>
  <cp:lastModifiedBy>刘文彬</cp:lastModifiedBy>
  <dcterms:modified xsi:type="dcterms:W3CDTF">2021-10-11T10:02:47Z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62499F94651146F392BE8F36AC3E136B</vt:lpwstr>
  </property>
</Properties>
</file>